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6F57" w14:textId="77777777" w:rsidR="000C5264" w:rsidRDefault="00000000">
      <w:pPr>
        <w:rPr>
          <w:sz w:val="36"/>
          <w:szCs w:val="36"/>
        </w:rPr>
      </w:pPr>
      <w:r>
        <w:rPr>
          <w:noProof/>
        </w:rPr>
        <w:drawing>
          <wp:anchor distT="0" distB="0" distL="0" distR="0" simplePos="0" relativeHeight="251658240" behindDoc="1" locked="0" layoutInCell="1" hidden="0" allowOverlap="1" wp14:anchorId="194836DA" wp14:editId="026CFF39">
            <wp:simplePos x="0" y="0"/>
            <wp:positionH relativeFrom="column">
              <wp:posOffset>3207521</wp:posOffset>
            </wp:positionH>
            <wp:positionV relativeFrom="paragraph">
              <wp:posOffset>-656588</wp:posOffset>
            </wp:positionV>
            <wp:extent cx="2736079" cy="480060"/>
            <wp:effectExtent l="0" t="0" r="0" b="0"/>
            <wp:wrapNone/>
            <wp:docPr id="3" name="image1.png" descr="Home"/>
            <wp:cNvGraphicFramePr/>
            <a:graphic xmlns:a="http://schemas.openxmlformats.org/drawingml/2006/main">
              <a:graphicData uri="http://schemas.openxmlformats.org/drawingml/2006/picture">
                <pic:pic xmlns:pic="http://schemas.openxmlformats.org/drawingml/2006/picture">
                  <pic:nvPicPr>
                    <pic:cNvPr id="0" name="image1.png" descr="Home"/>
                    <pic:cNvPicPr preferRelativeResize="0"/>
                  </pic:nvPicPr>
                  <pic:blipFill>
                    <a:blip r:embed="rId7"/>
                    <a:srcRect/>
                    <a:stretch>
                      <a:fillRect/>
                    </a:stretch>
                  </pic:blipFill>
                  <pic:spPr>
                    <a:xfrm>
                      <a:off x="0" y="0"/>
                      <a:ext cx="2736079" cy="480060"/>
                    </a:xfrm>
                    <a:prstGeom prst="rect">
                      <a:avLst/>
                    </a:prstGeom>
                    <a:ln/>
                  </pic:spPr>
                </pic:pic>
              </a:graphicData>
            </a:graphic>
          </wp:anchor>
        </w:drawing>
      </w:r>
    </w:p>
    <w:p w14:paraId="56B523DC" w14:textId="77777777" w:rsidR="000C5264" w:rsidRDefault="00000000">
      <w:pPr>
        <w:shd w:val="clear" w:color="auto" w:fill="C00000"/>
        <w:spacing w:after="0"/>
        <w:rPr>
          <w:b/>
          <w:sz w:val="36"/>
          <w:szCs w:val="36"/>
        </w:rPr>
      </w:pPr>
      <w:r>
        <w:rPr>
          <w:b/>
          <w:sz w:val="36"/>
          <w:szCs w:val="36"/>
        </w:rPr>
        <w:t>School Advisory Council</w:t>
      </w:r>
    </w:p>
    <w:p w14:paraId="2048A99E" w14:textId="73517CE2" w:rsidR="000C5264" w:rsidRPr="007C05A4" w:rsidRDefault="00000000" w:rsidP="007C05A4">
      <w:pPr>
        <w:shd w:val="clear" w:color="auto" w:fill="C00000"/>
        <w:spacing w:after="0"/>
        <w:rPr>
          <w:b/>
          <w:sz w:val="36"/>
          <w:szCs w:val="36"/>
        </w:rPr>
      </w:pPr>
      <w:r>
        <w:rPr>
          <w:b/>
          <w:sz w:val="36"/>
          <w:szCs w:val="36"/>
        </w:rPr>
        <w:t>Annual Report – June 2023</w:t>
      </w:r>
    </w:p>
    <w:tbl>
      <w:tblPr>
        <w:tblStyle w:val="a7"/>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7"/>
      </w:tblGrid>
      <w:tr w:rsidR="000C5264" w14:paraId="482E2347" w14:textId="77777777">
        <w:tc>
          <w:tcPr>
            <w:tcW w:w="1413" w:type="dxa"/>
            <w:shd w:val="clear" w:color="auto" w:fill="DEEBF6"/>
          </w:tcPr>
          <w:p w14:paraId="1E9FDC21" w14:textId="77777777" w:rsidR="000C5264" w:rsidRDefault="00000000">
            <w:pPr>
              <w:rPr>
                <w:sz w:val="24"/>
                <w:szCs w:val="24"/>
              </w:rPr>
            </w:pPr>
            <w:r>
              <w:rPr>
                <w:sz w:val="24"/>
                <w:szCs w:val="24"/>
              </w:rPr>
              <w:t>School</w:t>
            </w:r>
          </w:p>
        </w:tc>
        <w:tc>
          <w:tcPr>
            <w:tcW w:w="7937" w:type="dxa"/>
          </w:tcPr>
          <w:p w14:paraId="75CCADA2" w14:textId="77777777" w:rsidR="000C5264" w:rsidRDefault="00000000">
            <w:r>
              <w:rPr>
                <w:i/>
              </w:rPr>
              <w:t>Millwood Elementary</w:t>
            </w:r>
          </w:p>
        </w:tc>
      </w:tr>
    </w:tbl>
    <w:p w14:paraId="2D0C2559" w14:textId="77777777" w:rsidR="000C5264" w:rsidRDefault="000C5264"/>
    <w:tbl>
      <w:tblPr>
        <w:tblStyle w:val="a8"/>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C5264" w14:paraId="46071860" w14:textId="77777777">
        <w:tc>
          <w:tcPr>
            <w:tcW w:w="9350" w:type="dxa"/>
            <w:shd w:val="clear" w:color="auto" w:fill="DEEBF6"/>
          </w:tcPr>
          <w:p w14:paraId="460196E8" w14:textId="77777777" w:rsidR="000C5264" w:rsidRDefault="00000000">
            <w:pPr>
              <w:jc w:val="both"/>
              <w:rPr>
                <w:sz w:val="24"/>
                <w:szCs w:val="24"/>
              </w:rPr>
            </w:pPr>
            <w:r>
              <w:rPr>
                <w:sz w:val="24"/>
                <w:szCs w:val="24"/>
              </w:rPr>
              <w:t>Please list SAC members including names, membership type (i.e., parent, community member, staff), and role (i.e., Chair, Vice Chair).</w:t>
            </w:r>
          </w:p>
        </w:tc>
      </w:tr>
      <w:tr w:rsidR="000C5264" w14:paraId="08555028" w14:textId="77777777">
        <w:tc>
          <w:tcPr>
            <w:tcW w:w="9350" w:type="dxa"/>
          </w:tcPr>
          <w:p w14:paraId="63973E89" w14:textId="77777777" w:rsidR="000C5264" w:rsidRDefault="000C5264">
            <w:pPr>
              <w:jc w:val="both"/>
              <w:rPr>
                <w:sz w:val="24"/>
                <w:szCs w:val="24"/>
              </w:rPr>
            </w:pPr>
          </w:p>
          <w:p w14:paraId="16F93474" w14:textId="77777777" w:rsidR="007C05A4" w:rsidRPr="00BC62CF" w:rsidRDefault="007C05A4" w:rsidP="007C05A4">
            <w:pPr>
              <w:jc w:val="both"/>
              <w:rPr>
                <w:b/>
              </w:rPr>
            </w:pPr>
            <w:r w:rsidRPr="00BC62CF">
              <w:rPr>
                <w:b/>
              </w:rPr>
              <w:t>Parent Members:</w:t>
            </w:r>
          </w:p>
          <w:p w14:paraId="715E0707" w14:textId="08495224" w:rsidR="007C05A4" w:rsidRPr="00BC62CF" w:rsidRDefault="007C05A4" w:rsidP="007C05A4">
            <w:pPr>
              <w:jc w:val="both"/>
            </w:pPr>
            <w:r>
              <w:t>Natalie LaFleche</w:t>
            </w:r>
            <w:r w:rsidRPr="00BC62CF">
              <w:t xml:space="preserve"> – Chair</w:t>
            </w:r>
            <w:r>
              <w:t xml:space="preserve"> (Vacant 2023-2024)</w:t>
            </w:r>
          </w:p>
          <w:p w14:paraId="7EBEB930" w14:textId="77777777" w:rsidR="007C05A4" w:rsidRDefault="007C05A4" w:rsidP="007C05A4">
            <w:pPr>
              <w:rPr>
                <w:lang w:val="fr-CA"/>
              </w:rPr>
            </w:pPr>
            <w:r w:rsidRPr="00BC62CF">
              <w:rPr>
                <w:lang w:val="fr-CA"/>
              </w:rPr>
              <w:t>Michelle Barnhill</w:t>
            </w:r>
          </w:p>
          <w:p w14:paraId="60F8ABA1" w14:textId="77777777" w:rsidR="007C05A4" w:rsidRPr="00BC62CF" w:rsidRDefault="007C05A4" w:rsidP="007C05A4">
            <w:pPr>
              <w:jc w:val="both"/>
              <w:rPr>
                <w:b/>
              </w:rPr>
            </w:pPr>
            <w:r w:rsidRPr="00BC62CF">
              <w:rPr>
                <w:b/>
              </w:rPr>
              <w:t>Community Members:</w:t>
            </w:r>
          </w:p>
          <w:p w14:paraId="3EDD2CCF" w14:textId="77777777" w:rsidR="007C05A4" w:rsidRDefault="007C05A4" w:rsidP="007C05A4">
            <w:r w:rsidRPr="00BC62CF">
              <w:t>Lynn Parsons</w:t>
            </w:r>
          </w:p>
          <w:p w14:paraId="02B63A7F" w14:textId="1A923A60" w:rsidR="007C05A4" w:rsidRPr="007C05A4" w:rsidRDefault="007C05A4" w:rsidP="007C05A4">
            <w:pPr>
              <w:rPr>
                <w:lang w:val="fr-CA"/>
              </w:rPr>
            </w:pPr>
            <w:r w:rsidRPr="00BC62CF">
              <w:rPr>
                <w:lang w:val="fr-CA"/>
              </w:rPr>
              <w:t>Joann Nolan</w:t>
            </w:r>
          </w:p>
          <w:p w14:paraId="7605CEF5" w14:textId="77777777" w:rsidR="007C05A4" w:rsidRPr="00BC62CF" w:rsidRDefault="007C05A4" w:rsidP="007C05A4">
            <w:pPr>
              <w:jc w:val="both"/>
              <w:rPr>
                <w:b/>
                <w:lang w:val="fr-CA"/>
              </w:rPr>
            </w:pPr>
            <w:r w:rsidRPr="00BC62CF">
              <w:rPr>
                <w:b/>
                <w:lang w:val="fr-CA"/>
              </w:rPr>
              <w:t xml:space="preserve">Staff </w:t>
            </w:r>
            <w:proofErr w:type="spellStart"/>
            <w:r w:rsidRPr="00BC62CF">
              <w:rPr>
                <w:b/>
                <w:lang w:val="fr-CA"/>
              </w:rPr>
              <w:t>Members</w:t>
            </w:r>
            <w:proofErr w:type="spellEnd"/>
            <w:r w:rsidRPr="00BC62CF">
              <w:rPr>
                <w:b/>
                <w:lang w:val="fr-CA"/>
              </w:rPr>
              <w:t>:</w:t>
            </w:r>
          </w:p>
          <w:p w14:paraId="57E18437" w14:textId="77777777" w:rsidR="007C05A4" w:rsidRPr="00BC62CF" w:rsidRDefault="007C05A4" w:rsidP="007C05A4">
            <w:r w:rsidRPr="00BC62CF">
              <w:t>Traci George</w:t>
            </w:r>
          </w:p>
          <w:p w14:paraId="0DB8C97B" w14:textId="77777777" w:rsidR="007C05A4" w:rsidRPr="00BC62CF" w:rsidRDefault="007C05A4" w:rsidP="007C05A4">
            <w:r w:rsidRPr="00BC62CF">
              <w:t>Nancy McNeil</w:t>
            </w:r>
          </w:p>
          <w:p w14:paraId="05163733" w14:textId="242FAB66" w:rsidR="007C05A4" w:rsidRPr="00BC62CF" w:rsidRDefault="007C05A4" w:rsidP="007C05A4">
            <w:r w:rsidRPr="00BC62CF">
              <w:t>Angie Mac</w:t>
            </w:r>
            <w:r>
              <w:t>A</w:t>
            </w:r>
            <w:r w:rsidRPr="00BC62CF">
              <w:t>loney</w:t>
            </w:r>
          </w:p>
          <w:p w14:paraId="644F51D0" w14:textId="77777777" w:rsidR="007C05A4" w:rsidRPr="00BC62CF" w:rsidRDefault="007C05A4" w:rsidP="007C05A4">
            <w:pPr>
              <w:jc w:val="both"/>
              <w:rPr>
                <w:b/>
                <w:lang w:val="fr-CA"/>
              </w:rPr>
            </w:pPr>
            <w:r w:rsidRPr="00BC62CF">
              <w:rPr>
                <w:b/>
                <w:lang w:val="fr-CA"/>
              </w:rPr>
              <w:t>Administration:</w:t>
            </w:r>
          </w:p>
          <w:p w14:paraId="5202910C" w14:textId="77777777" w:rsidR="007C05A4" w:rsidRPr="00BC62CF" w:rsidRDefault="007C05A4" w:rsidP="007C05A4">
            <w:pPr>
              <w:rPr>
                <w:lang w:val="fr-CA"/>
              </w:rPr>
            </w:pPr>
            <w:r w:rsidRPr="00BC62CF">
              <w:rPr>
                <w:lang w:val="fr-CA"/>
              </w:rPr>
              <w:t>Michelle Andrews (Principal)</w:t>
            </w:r>
          </w:p>
          <w:p w14:paraId="69B67025" w14:textId="7FE0EF83" w:rsidR="007C05A4" w:rsidRDefault="007C05A4">
            <w:pPr>
              <w:jc w:val="both"/>
              <w:rPr>
                <w:sz w:val="24"/>
                <w:szCs w:val="24"/>
              </w:rPr>
            </w:pPr>
            <w:r>
              <w:rPr>
                <w:lang w:val="fr-CA"/>
              </w:rPr>
              <w:t>Christine Richardson</w:t>
            </w:r>
            <w:r w:rsidRPr="00BC62CF">
              <w:rPr>
                <w:lang w:val="fr-CA"/>
              </w:rPr>
              <w:t xml:space="preserve"> (Vice Principal)</w:t>
            </w:r>
          </w:p>
          <w:p w14:paraId="3C46EF40" w14:textId="77777777" w:rsidR="000C5264" w:rsidRDefault="000C5264">
            <w:pPr>
              <w:jc w:val="both"/>
              <w:rPr>
                <w:i/>
                <w:sz w:val="24"/>
                <w:szCs w:val="24"/>
              </w:rPr>
            </w:pPr>
          </w:p>
        </w:tc>
      </w:tr>
    </w:tbl>
    <w:p w14:paraId="4BF0C335" w14:textId="77777777" w:rsidR="000C5264" w:rsidRDefault="000C5264">
      <w:pPr>
        <w:jc w:val="both"/>
        <w:rPr>
          <w:sz w:val="24"/>
          <w:szCs w:val="24"/>
        </w:rPr>
      </w:pPr>
    </w:p>
    <w:tbl>
      <w:tblPr>
        <w:tblStyle w:val="a9"/>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C5264" w14:paraId="62FCF8B1" w14:textId="77777777">
        <w:tc>
          <w:tcPr>
            <w:tcW w:w="9350" w:type="dxa"/>
            <w:shd w:val="clear" w:color="auto" w:fill="DEEBF6"/>
          </w:tcPr>
          <w:p w14:paraId="6E7D9654" w14:textId="77777777" w:rsidR="000C5264" w:rsidRDefault="00000000">
            <w:pPr>
              <w:jc w:val="both"/>
              <w:rPr>
                <w:sz w:val="24"/>
                <w:szCs w:val="24"/>
              </w:rPr>
            </w:pPr>
            <w:r>
              <w:rPr>
                <w:sz w:val="24"/>
                <w:szCs w:val="24"/>
              </w:rPr>
              <w:t>Please describe a summary of work undertaken by the SAC to improve student achievement and school performance.</w:t>
            </w:r>
          </w:p>
        </w:tc>
      </w:tr>
      <w:tr w:rsidR="000C5264" w14:paraId="5941D61B" w14:textId="77777777">
        <w:tc>
          <w:tcPr>
            <w:tcW w:w="9350" w:type="dxa"/>
          </w:tcPr>
          <w:p w14:paraId="1DDD98F6" w14:textId="77777777" w:rsidR="000C5264" w:rsidRDefault="00000000">
            <w:pPr>
              <w:jc w:val="both"/>
              <w:rPr>
                <w:sz w:val="24"/>
                <w:szCs w:val="24"/>
              </w:rPr>
            </w:pPr>
            <w:r>
              <w:rPr>
                <w:sz w:val="24"/>
                <w:szCs w:val="24"/>
              </w:rPr>
              <w:t xml:space="preserve">The SAC this year was very supportive of our student achievement and well being goals. They agreed with the school goals of enhancing more literacy involvement as well as the increase in our student’s well-being. The SAC along with our SOS sub committee helped organize a literacy night at our school this Winter. To support the Physically Active Framework as well as student well-being the SAC </w:t>
            </w:r>
            <w:proofErr w:type="gramStart"/>
            <w:r>
              <w:rPr>
                <w:sz w:val="24"/>
                <w:szCs w:val="24"/>
              </w:rPr>
              <w:t>was in agreement</w:t>
            </w:r>
            <w:proofErr w:type="gramEnd"/>
            <w:r>
              <w:rPr>
                <w:sz w:val="24"/>
                <w:szCs w:val="24"/>
              </w:rPr>
              <w:t xml:space="preserve"> to purchase materials and activities for outdoor play for students during their recess and lunch. </w:t>
            </w:r>
          </w:p>
        </w:tc>
      </w:tr>
    </w:tbl>
    <w:p w14:paraId="6B2A5BB5" w14:textId="77777777" w:rsidR="000C5264" w:rsidRDefault="000C5264">
      <w:pPr>
        <w:jc w:val="both"/>
        <w:rPr>
          <w:sz w:val="24"/>
          <w:szCs w:val="24"/>
        </w:rPr>
      </w:pPr>
    </w:p>
    <w:tbl>
      <w:tblPr>
        <w:tblStyle w:val="a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C5264" w14:paraId="3845C76A" w14:textId="77777777">
        <w:tc>
          <w:tcPr>
            <w:tcW w:w="9350" w:type="dxa"/>
            <w:shd w:val="clear" w:color="auto" w:fill="DEEBF6"/>
          </w:tcPr>
          <w:p w14:paraId="530D175A" w14:textId="77777777" w:rsidR="000C5264" w:rsidRDefault="00000000">
            <w:pPr>
              <w:jc w:val="both"/>
              <w:rPr>
                <w:sz w:val="24"/>
                <w:szCs w:val="24"/>
              </w:rPr>
            </w:pPr>
            <w:r>
              <w:rPr>
                <w:sz w:val="24"/>
                <w:szCs w:val="24"/>
              </w:rPr>
              <w:t>Please list any significant milestones and success stories that the SAC would like to highlight.</w:t>
            </w:r>
          </w:p>
        </w:tc>
      </w:tr>
      <w:tr w:rsidR="000C5264" w14:paraId="6326DE83" w14:textId="77777777">
        <w:tc>
          <w:tcPr>
            <w:tcW w:w="9350" w:type="dxa"/>
          </w:tcPr>
          <w:p w14:paraId="680000AD" w14:textId="77777777" w:rsidR="000C5264" w:rsidRDefault="00000000">
            <w:pPr>
              <w:jc w:val="both"/>
              <w:rPr>
                <w:sz w:val="24"/>
                <w:szCs w:val="24"/>
              </w:rPr>
            </w:pPr>
            <w:r>
              <w:rPr>
                <w:sz w:val="24"/>
                <w:szCs w:val="24"/>
              </w:rPr>
              <w:t xml:space="preserve">Within our SAC this year there were a few success stories to highlight as it related to coming away from our Covid guidelines. Our school community once again engaged in having assemblies which focused on Equity, Culture and Wellness. We further supported our literacy goals in celebrating reading through virtual assemblies for our school community. </w:t>
            </w:r>
          </w:p>
        </w:tc>
      </w:tr>
    </w:tbl>
    <w:p w14:paraId="6533367B" w14:textId="77777777" w:rsidR="000C5264" w:rsidRDefault="000C5264">
      <w:pPr>
        <w:jc w:val="both"/>
        <w:rPr>
          <w:sz w:val="24"/>
          <w:szCs w:val="24"/>
        </w:rPr>
      </w:pPr>
    </w:p>
    <w:tbl>
      <w:tblPr>
        <w:tblStyle w:val="ab"/>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C5264" w14:paraId="2D043D85" w14:textId="77777777">
        <w:tc>
          <w:tcPr>
            <w:tcW w:w="9350" w:type="dxa"/>
            <w:shd w:val="clear" w:color="auto" w:fill="DEEBF6"/>
          </w:tcPr>
          <w:p w14:paraId="78BE064A" w14:textId="77777777" w:rsidR="000C5264" w:rsidRDefault="00000000">
            <w:pPr>
              <w:jc w:val="both"/>
              <w:rPr>
                <w:sz w:val="24"/>
                <w:szCs w:val="24"/>
              </w:rPr>
            </w:pPr>
            <w:r>
              <w:rPr>
                <w:sz w:val="24"/>
                <w:szCs w:val="24"/>
              </w:rPr>
              <w:t>Please describe any related sub-committee work undertaken by SAC members (e.g., School Options Committee).</w:t>
            </w:r>
          </w:p>
        </w:tc>
      </w:tr>
      <w:tr w:rsidR="000C5264" w14:paraId="15CEF456" w14:textId="77777777">
        <w:tc>
          <w:tcPr>
            <w:tcW w:w="9350" w:type="dxa"/>
          </w:tcPr>
          <w:p w14:paraId="16B8DBE1" w14:textId="2A066719" w:rsidR="000C5264" w:rsidRDefault="00000000">
            <w:r>
              <w:lastRenderedPageBreak/>
              <w:t>Our SAC this year had an SOS sub committee which organized the school’s Spring Fling this year as well as a few days throughout the year celebrating and recognizing the work of the staff here at M</w:t>
            </w:r>
            <w:r w:rsidR="007C05A4">
              <w:t>i</w:t>
            </w:r>
            <w:r>
              <w:t>llwood Elementary</w:t>
            </w:r>
          </w:p>
          <w:p w14:paraId="4CD801EE" w14:textId="77777777" w:rsidR="000C5264" w:rsidRDefault="000C5264"/>
        </w:tc>
      </w:tr>
    </w:tbl>
    <w:p w14:paraId="6D29B4D5" w14:textId="77777777" w:rsidR="000C5264" w:rsidRDefault="00000000">
      <w:pPr>
        <w:rPr>
          <w:i/>
          <w:color w:val="FF0000"/>
          <w:sz w:val="24"/>
          <w:szCs w:val="24"/>
        </w:rPr>
      </w:pPr>
      <w:r>
        <w:rPr>
          <w:b/>
          <w:sz w:val="24"/>
          <w:szCs w:val="24"/>
          <w:u w:val="single"/>
        </w:rPr>
        <w:t>Statements of Revenues and Expenditures:</w:t>
      </w:r>
    </w:p>
    <w:tbl>
      <w:tblPr>
        <w:tblStyle w:val="ac"/>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C5264" w14:paraId="6ED0F1B4" w14:textId="77777777">
        <w:tc>
          <w:tcPr>
            <w:tcW w:w="9350" w:type="dxa"/>
            <w:shd w:val="clear" w:color="auto" w:fill="DEEBF6"/>
          </w:tcPr>
          <w:p w14:paraId="740B4131" w14:textId="77777777" w:rsidR="000C5264" w:rsidRDefault="00000000">
            <w:pPr>
              <w:jc w:val="both"/>
              <w:rPr>
                <w:sz w:val="24"/>
                <w:szCs w:val="24"/>
              </w:rPr>
            </w:pPr>
            <w:r>
              <w:rPr>
                <w:sz w:val="24"/>
                <w:szCs w:val="24"/>
              </w:rPr>
              <w:t>Expenditures supporting the school improvement plan (e.g., providing resources to support math and literacy instruction).</w:t>
            </w:r>
          </w:p>
        </w:tc>
      </w:tr>
      <w:tr w:rsidR="000C5264" w14:paraId="5CAB2685" w14:textId="77777777">
        <w:tc>
          <w:tcPr>
            <w:tcW w:w="9350" w:type="dxa"/>
          </w:tcPr>
          <w:p w14:paraId="60D57ECC" w14:textId="4B8D72D6" w:rsidR="000C5264" w:rsidRDefault="00000000">
            <w:pPr>
              <w:jc w:val="both"/>
              <w:rPr>
                <w:sz w:val="24"/>
                <w:szCs w:val="24"/>
              </w:rPr>
            </w:pPr>
            <w:r>
              <w:rPr>
                <w:sz w:val="24"/>
                <w:szCs w:val="24"/>
              </w:rPr>
              <w:t>All expenditures from SAC funds either supported math and literacy instruction or student wellness. Funds were used to purchase small learning tables to support small group work, classroom materials and resources, such as magnetic letters, leveled reading books and math materials to support fact fluency. The SAC supported using funds to cover the costs to hire subs to allow for additional collaboration time among grade level teams. We intended to use more of the SAC funds to support this collaboration among grade level partners however it became extremely challenging to secure subs during the later half of the year.  Funds were also used to support student wellness. Many students have not yet had the experience to attend a class trip due to Covid restrictions in place over the past few years. SAC funds were used to help cover the cost of some class trips. Using funds from the SAC and S</w:t>
            </w:r>
            <w:r w:rsidR="00510E3C">
              <w:rPr>
                <w:sz w:val="24"/>
                <w:szCs w:val="24"/>
              </w:rPr>
              <w:t>SG</w:t>
            </w:r>
            <w:r>
              <w:rPr>
                <w:sz w:val="24"/>
                <w:szCs w:val="24"/>
              </w:rPr>
              <w:t xml:space="preserve"> allowed for all trip expenses to be covered this year. We did not have to ask our families for any additional funds to cover expenses of the year end trips and experiences.</w:t>
            </w:r>
            <w:r>
              <w:rPr>
                <w:i/>
                <w:color w:val="FF0000"/>
                <w:sz w:val="24"/>
                <w:szCs w:val="24"/>
              </w:rPr>
              <w:t xml:space="preserve"> </w:t>
            </w:r>
          </w:p>
          <w:tbl>
            <w:tblPr>
              <w:tblStyle w:val="ad"/>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8"/>
              <w:gridCol w:w="1307"/>
              <w:gridCol w:w="1307"/>
              <w:gridCol w:w="1307"/>
              <w:gridCol w:w="1307"/>
              <w:gridCol w:w="1307"/>
              <w:gridCol w:w="1307"/>
            </w:tblGrid>
            <w:tr w:rsidR="000C5264" w14:paraId="26DB81DB" w14:textId="77777777">
              <w:tc>
                <w:tcPr>
                  <w:tcW w:w="130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796E546A" w14:textId="77777777" w:rsidR="000C5264" w:rsidRDefault="00000000">
                  <w:pPr>
                    <w:widowControl w:val="0"/>
                    <w:spacing w:before="240" w:after="0" w:line="276" w:lineRule="auto"/>
                    <w:ind w:left="140" w:right="140"/>
                    <w:jc w:val="center"/>
                    <w:rPr>
                      <w:b/>
                      <w:sz w:val="10"/>
                      <w:szCs w:val="10"/>
                    </w:rPr>
                  </w:pPr>
                  <w:r>
                    <w:rPr>
                      <w:b/>
                      <w:sz w:val="10"/>
                      <w:szCs w:val="10"/>
                    </w:rPr>
                    <w:t>Date</w:t>
                  </w:r>
                </w:p>
              </w:tc>
              <w:tc>
                <w:tcPr>
                  <w:tcW w:w="1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bottom"/>
                </w:tcPr>
                <w:p w14:paraId="18A94D76" w14:textId="77777777" w:rsidR="000C5264" w:rsidRDefault="00000000">
                  <w:pPr>
                    <w:widowControl w:val="0"/>
                    <w:spacing w:before="240" w:after="0" w:line="276" w:lineRule="auto"/>
                    <w:ind w:left="140" w:right="140"/>
                    <w:jc w:val="center"/>
                    <w:rPr>
                      <w:b/>
                      <w:sz w:val="10"/>
                      <w:szCs w:val="10"/>
                    </w:rPr>
                  </w:pPr>
                  <w:r>
                    <w:rPr>
                      <w:b/>
                      <w:sz w:val="10"/>
                      <w:szCs w:val="10"/>
                    </w:rPr>
                    <w:t>Transaction</w:t>
                  </w:r>
                </w:p>
              </w:tc>
              <w:tc>
                <w:tcPr>
                  <w:tcW w:w="1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bottom"/>
                </w:tcPr>
                <w:p w14:paraId="320D7186" w14:textId="77777777" w:rsidR="000C5264" w:rsidRDefault="00000000">
                  <w:pPr>
                    <w:widowControl w:val="0"/>
                    <w:spacing w:before="240" w:after="0" w:line="276" w:lineRule="auto"/>
                    <w:ind w:left="140" w:right="140"/>
                    <w:jc w:val="center"/>
                    <w:rPr>
                      <w:b/>
                      <w:sz w:val="10"/>
                      <w:szCs w:val="10"/>
                    </w:rPr>
                  </w:pPr>
                  <w:r>
                    <w:rPr>
                      <w:b/>
                      <w:sz w:val="10"/>
                      <w:szCs w:val="10"/>
                    </w:rPr>
                    <w:t>Description</w:t>
                  </w:r>
                </w:p>
              </w:tc>
              <w:tc>
                <w:tcPr>
                  <w:tcW w:w="1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bottom"/>
                </w:tcPr>
                <w:p w14:paraId="48C8EA5C" w14:textId="77777777" w:rsidR="000C5264" w:rsidRDefault="00000000">
                  <w:pPr>
                    <w:widowControl w:val="0"/>
                    <w:spacing w:before="240" w:after="0" w:line="276" w:lineRule="auto"/>
                    <w:ind w:left="140" w:right="140"/>
                    <w:jc w:val="center"/>
                    <w:rPr>
                      <w:b/>
                      <w:sz w:val="10"/>
                      <w:szCs w:val="10"/>
                    </w:rPr>
                  </w:pPr>
                  <w:r>
                    <w:rPr>
                      <w:b/>
                      <w:sz w:val="10"/>
                      <w:szCs w:val="10"/>
                    </w:rPr>
                    <w:t>Debit</w:t>
                  </w:r>
                </w:p>
              </w:tc>
              <w:tc>
                <w:tcPr>
                  <w:tcW w:w="1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bottom"/>
                </w:tcPr>
                <w:p w14:paraId="5ED3AC9A" w14:textId="77777777" w:rsidR="000C5264" w:rsidRDefault="00000000">
                  <w:pPr>
                    <w:widowControl w:val="0"/>
                    <w:spacing w:before="240" w:after="0" w:line="276" w:lineRule="auto"/>
                    <w:ind w:left="140" w:right="140"/>
                    <w:jc w:val="center"/>
                    <w:rPr>
                      <w:b/>
                      <w:sz w:val="10"/>
                      <w:szCs w:val="10"/>
                    </w:rPr>
                  </w:pPr>
                  <w:r>
                    <w:rPr>
                      <w:b/>
                      <w:sz w:val="10"/>
                      <w:szCs w:val="10"/>
                    </w:rPr>
                    <w:t>Credit</w:t>
                  </w:r>
                </w:p>
              </w:tc>
              <w:tc>
                <w:tcPr>
                  <w:tcW w:w="1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bottom"/>
                </w:tcPr>
                <w:p w14:paraId="79918056" w14:textId="77777777" w:rsidR="000C5264" w:rsidRDefault="00000000">
                  <w:pPr>
                    <w:widowControl w:val="0"/>
                    <w:spacing w:before="240" w:after="0" w:line="276" w:lineRule="auto"/>
                    <w:ind w:left="140" w:right="140"/>
                    <w:jc w:val="center"/>
                    <w:rPr>
                      <w:b/>
                      <w:sz w:val="10"/>
                      <w:szCs w:val="10"/>
                    </w:rPr>
                  </w:pPr>
                  <w:r>
                    <w:rPr>
                      <w:b/>
                      <w:sz w:val="10"/>
                      <w:szCs w:val="10"/>
                    </w:rPr>
                    <w:t>Tax Paid</w:t>
                  </w:r>
                </w:p>
              </w:tc>
              <w:tc>
                <w:tcPr>
                  <w:tcW w:w="13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vAlign w:val="bottom"/>
                </w:tcPr>
                <w:p w14:paraId="5DF54EC3" w14:textId="77777777" w:rsidR="000C5264" w:rsidRDefault="00000000">
                  <w:pPr>
                    <w:widowControl w:val="0"/>
                    <w:spacing w:before="240" w:after="0" w:line="276" w:lineRule="auto"/>
                    <w:ind w:left="140" w:right="140"/>
                    <w:jc w:val="center"/>
                    <w:rPr>
                      <w:b/>
                      <w:sz w:val="10"/>
                      <w:szCs w:val="10"/>
                    </w:rPr>
                  </w:pPr>
                  <w:r>
                    <w:rPr>
                      <w:b/>
                      <w:sz w:val="10"/>
                      <w:szCs w:val="10"/>
                    </w:rPr>
                    <w:t>Balance</w:t>
                  </w:r>
                </w:p>
              </w:tc>
            </w:tr>
            <w:tr w:rsidR="000C5264" w14:paraId="6EC605EC" w14:textId="77777777">
              <w:tc>
                <w:tcPr>
                  <w:tcW w:w="130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4E11816E" w14:textId="77777777" w:rsidR="000C5264" w:rsidRDefault="00000000">
                  <w:pPr>
                    <w:widowControl w:val="0"/>
                    <w:spacing w:before="240" w:after="0" w:line="276" w:lineRule="auto"/>
                    <w:ind w:left="140" w:right="140"/>
                    <w:rPr>
                      <w:sz w:val="10"/>
                      <w:szCs w:val="10"/>
                    </w:rPr>
                  </w:pPr>
                  <w:r>
                    <w:rPr>
                      <w:sz w:val="10"/>
                      <w:szCs w:val="10"/>
                    </w:rPr>
                    <w:t>12/31/2022</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109F2EC2" w14:textId="77777777" w:rsidR="000C5264" w:rsidRDefault="00000000">
                  <w:pPr>
                    <w:widowControl w:val="0"/>
                    <w:spacing w:before="240" w:after="0" w:line="276" w:lineRule="auto"/>
                    <w:ind w:left="140" w:right="140"/>
                    <w:rPr>
                      <w:sz w:val="10"/>
                      <w:szCs w:val="10"/>
                    </w:rPr>
                  </w:pPr>
                  <w:r>
                    <w:rPr>
                      <w:sz w:val="10"/>
                      <w:szCs w:val="10"/>
                    </w:rPr>
                    <w:t>Credit Memo</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45D17B21" w14:textId="77777777" w:rsidR="000C5264" w:rsidRDefault="00000000">
                  <w:pPr>
                    <w:widowControl w:val="0"/>
                    <w:spacing w:before="240" w:after="0" w:line="276" w:lineRule="auto"/>
                    <w:ind w:left="140" w:right="140"/>
                    <w:rPr>
                      <w:sz w:val="10"/>
                      <w:szCs w:val="10"/>
                    </w:rPr>
                  </w:pPr>
                  <w:r>
                    <w:rPr>
                      <w:sz w:val="10"/>
                      <w:szCs w:val="10"/>
                    </w:rPr>
                    <w:t>Grant transfer from HRCE</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106D72BD"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1D776A7" w14:textId="77777777" w:rsidR="000C5264" w:rsidRDefault="00000000">
                  <w:pPr>
                    <w:widowControl w:val="0"/>
                    <w:spacing w:before="240" w:after="0" w:line="276" w:lineRule="auto"/>
                    <w:ind w:left="140" w:right="140"/>
                    <w:jc w:val="right"/>
                    <w:rPr>
                      <w:sz w:val="10"/>
                      <w:szCs w:val="10"/>
                    </w:rPr>
                  </w:pPr>
                  <w:r>
                    <w:rPr>
                      <w:sz w:val="10"/>
                      <w:szCs w:val="10"/>
                    </w:rPr>
                    <w:t>$5,455.00</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1EFD522"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78D06BD7" w14:textId="77777777" w:rsidR="000C5264" w:rsidRDefault="00000000">
                  <w:pPr>
                    <w:widowControl w:val="0"/>
                    <w:spacing w:before="240" w:after="0" w:line="276" w:lineRule="auto"/>
                    <w:ind w:left="140" w:right="140"/>
                    <w:jc w:val="right"/>
                    <w:rPr>
                      <w:sz w:val="10"/>
                      <w:szCs w:val="10"/>
                    </w:rPr>
                  </w:pPr>
                  <w:r>
                    <w:rPr>
                      <w:sz w:val="10"/>
                      <w:szCs w:val="10"/>
                    </w:rPr>
                    <w:t>$18,159.26</w:t>
                  </w:r>
                </w:p>
              </w:tc>
            </w:tr>
            <w:tr w:rsidR="000C5264" w14:paraId="19B54118" w14:textId="77777777">
              <w:tc>
                <w:tcPr>
                  <w:tcW w:w="130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DDE2173" w14:textId="77777777" w:rsidR="000C5264" w:rsidRDefault="00000000">
                  <w:pPr>
                    <w:widowControl w:val="0"/>
                    <w:spacing w:before="240" w:after="0" w:line="276" w:lineRule="auto"/>
                    <w:ind w:left="140" w:right="140"/>
                    <w:rPr>
                      <w:sz w:val="10"/>
                      <w:szCs w:val="10"/>
                    </w:rPr>
                  </w:pPr>
                  <w:r>
                    <w:rPr>
                      <w:sz w:val="10"/>
                      <w:szCs w:val="10"/>
                    </w:rPr>
                    <w:t>02/14/2023</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0DB61637" w14:textId="77777777" w:rsidR="000C5264" w:rsidRDefault="00000000">
                  <w:pPr>
                    <w:widowControl w:val="0"/>
                    <w:spacing w:before="240" w:after="0" w:line="276" w:lineRule="auto"/>
                    <w:ind w:left="140" w:right="140"/>
                    <w:rPr>
                      <w:sz w:val="10"/>
                      <w:szCs w:val="10"/>
                    </w:rPr>
                  </w:pPr>
                  <w:r>
                    <w:rPr>
                      <w:sz w:val="10"/>
                      <w:szCs w:val="10"/>
                    </w:rPr>
                    <w:t>Check 5675</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1D7F02DD" w14:textId="77777777" w:rsidR="000C5264" w:rsidRDefault="00000000">
                  <w:pPr>
                    <w:widowControl w:val="0"/>
                    <w:spacing w:before="240" w:after="0" w:line="276" w:lineRule="auto"/>
                    <w:ind w:left="140" w:right="140"/>
                    <w:rPr>
                      <w:sz w:val="10"/>
                      <w:szCs w:val="10"/>
                    </w:rPr>
                  </w:pPr>
                  <w:r>
                    <w:rPr>
                      <w:sz w:val="10"/>
                      <w:szCs w:val="10"/>
                    </w:rPr>
                    <w:t>Nelson Education Ltd. Books students</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2C9DABAF" w14:textId="77777777" w:rsidR="000C5264" w:rsidRDefault="00000000">
                  <w:pPr>
                    <w:widowControl w:val="0"/>
                    <w:spacing w:before="240" w:after="0" w:line="276" w:lineRule="auto"/>
                    <w:ind w:left="140" w:right="140"/>
                    <w:jc w:val="right"/>
                    <w:rPr>
                      <w:sz w:val="10"/>
                      <w:szCs w:val="10"/>
                    </w:rPr>
                  </w:pPr>
                  <w:r>
                    <w:rPr>
                      <w:sz w:val="10"/>
                      <w:szCs w:val="10"/>
                    </w:rPr>
                    <w:t>$655.61</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37D0126B"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445F7567" w14:textId="77777777" w:rsidR="000C5264" w:rsidRDefault="00000000">
                  <w:pPr>
                    <w:widowControl w:val="0"/>
                    <w:spacing w:before="240" w:after="0" w:line="276" w:lineRule="auto"/>
                    <w:ind w:left="140" w:right="140"/>
                    <w:jc w:val="right"/>
                    <w:rPr>
                      <w:sz w:val="10"/>
                      <w:szCs w:val="10"/>
                    </w:rPr>
                  </w:pPr>
                  <w:r>
                    <w:rPr>
                      <w:sz w:val="10"/>
                      <w:szCs w:val="10"/>
                    </w:rPr>
                    <w:t>$32.81</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1D27C4CA" w14:textId="77777777" w:rsidR="000C5264" w:rsidRDefault="00000000">
                  <w:pPr>
                    <w:widowControl w:val="0"/>
                    <w:spacing w:before="240" w:after="0" w:line="276" w:lineRule="auto"/>
                    <w:ind w:left="140" w:right="140"/>
                    <w:jc w:val="right"/>
                    <w:rPr>
                      <w:sz w:val="10"/>
                      <w:szCs w:val="10"/>
                    </w:rPr>
                  </w:pPr>
                  <w:r>
                    <w:rPr>
                      <w:sz w:val="10"/>
                      <w:szCs w:val="10"/>
                    </w:rPr>
                    <w:t>$17,503.65</w:t>
                  </w:r>
                </w:p>
              </w:tc>
            </w:tr>
            <w:tr w:rsidR="000C5264" w14:paraId="654ED811" w14:textId="77777777">
              <w:tc>
                <w:tcPr>
                  <w:tcW w:w="130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598EE2AD" w14:textId="77777777" w:rsidR="000C5264" w:rsidRDefault="00000000">
                  <w:pPr>
                    <w:widowControl w:val="0"/>
                    <w:spacing w:before="240" w:after="0" w:line="276" w:lineRule="auto"/>
                    <w:ind w:left="140" w:right="140"/>
                    <w:rPr>
                      <w:sz w:val="10"/>
                      <w:szCs w:val="10"/>
                    </w:rPr>
                  </w:pPr>
                  <w:r>
                    <w:rPr>
                      <w:sz w:val="10"/>
                      <w:szCs w:val="10"/>
                    </w:rPr>
                    <w:t>02/27/2023</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99AE016" w14:textId="77777777" w:rsidR="000C5264" w:rsidRDefault="00000000">
                  <w:pPr>
                    <w:widowControl w:val="0"/>
                    <w:spacing w:before="240" w:after="0" w:line="276" w:lineRule="auto"/>
                    <w:ind w:left="140" w:right="140"/>
                    <w:rPr>
                      <w:sz w:val="10"/>
                      <w:szCs w:val="10"/>
                    </w:rPr>
                  </w:pPr>
                  <w:r>
                    <w:rPr>
                      <w:sz w:val="10"/>
                      <w:szCs w:val="10"/>
                    </w:rPr>
                    <w:t>Check 5677</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259392A5" w14:textId="77777777" w:rsidR="000C5264" w:rsidRDefault="00000000">
                  <w:pPr>
                    <w:widowControl w:val="0"/>
                    <w:spacing w:before="240" w:after="0" w:line="276" w:lineRule="auto"/>
                    <w:ind w:left="140" w:right="140"/>
                    <w:rPr>
                      <w:sz w:val="10"/>
                      <w:szCs w:val="10"/>
                    </w:rPr>
                  </w:pPr>
                  <w:r>
                    <w:rPr>
                      <w:sz w:val="10"/>
                      <w:szCs w:val="10"/>
                    </w:rPr>
                    <w:t>Nelson Education Ltd. Books students</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296D97F0" w14:textId="77777777" w:rsidR="000C5264" w:rsidRDefault="00000000">
                  <w:pPr>
                    <w:widowControl w:val="0"/>
                    <w:spacing w:before="240" w:after="0" w:line="276" w:lineRule="auto"/>
                    <w:ind w:left="140" w:right="140"/>
                    <w:jc w:val="right"/>
                    <w:rPr>
                      <w:sz w:val="10"/>
                      <w:szCs w:val="10"/>
                    </w:rPr>
                  </w:pPr>
                  <w:r>
                    <w:rPr>
                      <w:sz w:val="10"/>
                      <w:szCs w:val="10"/>
                    </w:rPr>
                    <w:t>$229.36</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6C6A9D6A"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125D36F" w14:textId="77777777" w:rsidR="000C5264" w:rsidRDefault="00000000">
                  <w:pPr>
                    <w:widowControl w:val="0"/>
                    <w:spacing w:before="240" w:after="0" w:line="276" w:lineRule="auto"/>
                    <w:ind w:left="140" w:right="140"/>
                    <w:jc w:val="right"/>
                    <w:rPr>
                      <w:sz w:val="10"/>
                      <w:szCs w:val="10"/>
                    </w:rPr>
                  </w:pPr>
                  <w:r>
                    <w:rPr>
                      <w:sz w:val="10"/>
                      <w:szCs w:val="10"/>
                    </w:rPr>
                    <w:t>$10.92</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332D20C4" w14:textId="77777777" w:rsidR="000C5264" w:rsidRDefault="00000000">
                  <w:pPr>
                    <w:widowControl w:val="0"/>
                    <w:spacing w:before="240" w:after="0" w:line="276" w:lineRule="auto"/>
                    <w:ind w:left="140" w:right="140"/>
                    <w:jc w:val="right"/>
                    <w:rPr>
                      <w:sz w:val="10"/>
                      <w:szCs w:val="10"/>
                    </w:rPr>
                  </w:pPr>
                  <w:r>
                    <w:rPr>
                      <w:sz w:val="10"/>
                      <w:szCs w:val="10"/>
                    </w:rPr>
                    <w:t>$17,274.29</w:t>
                  </w:r>
                </w:p>
              </w:tc>
            </w:tr>
            <w:tr w:rsidR="000C5264" w14:paraId="38DDE0F9" w14:textId="77777777">
              <w:tc>
                <w:tcPr>
                  <w:tcW w:w="130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1CC3EE5A" w14:textId="77777777" w:rsidR="000C5264" w:rsidRDefault="00000000">
                  <w:pPr>
                    <w:widowControl w:val="0"/>
                    <w:spacing w:before="240" w:after="0" w:line="276" w:lineRule="auto"/>
                    <w:ind w:left="140" w:right="140"/>
                    <w:rPr>
                      <w:sz w:val="10"/>
                      <w:szCs w:val="10"/>
                    </w:rPr>
                  </w:pPr>
                  <w:r>
                    <w:rPr>
                      <w:sz w:val="10"/>
                      <w:szCs w:val="10"/>
                    </w:rPr>
                    <w:t>03/10/2023</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239BB4EF" w14:textId="77777777" w:rsidR="000C5264" w:rsidRDefault="00000000">
                  <w:pPr>
                    <w:widowControl w:val="0"/>
                    <w:spacing w:before="240" w:after="0" w:line="276" w:lineRule="auto"/>
                    <w:ind w:left="140" w:right="140"/>
                    <w:rPr>
                      <w:sz w:val="10"/>
                      <w:szCs w:val="10"/>
                    </w:rPr>
                  </w:pPr>
                  <w:r>
                    <w:rPr>
                      <w:sz w:val="10"/>
                      <w:szCs w:val="10"/>
                    </w:rPr>
                    <w:t>Check 5679</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2778FE2E" w14:textId="77777777" w:rsidR="000C5264" w:rsidRDefault="00000000">
                  <w:pPr>
                    <w:widowControl w:val="0"/>
                    <w:spacing w:before="240" w:after="0" w:line="276" w:lineRule="auto"/>
                    <w:ind w:left="140" w:right="140"/>
                    <w:rPr>
                      <w:sz w:val="10"/>
                      <w:szCs w:val="10"/>
                    </w:rPr>
                  </w:pPr>
                  <w:r>
                    <w:rPr>
                      <w:sz w:val="10"/>
                      <w:szCs w:val="10"/>
                    </w:rPr>
                    <w:t>Classroom Concepts - 3 clover tables</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67BBFDE1" w14:textId="77777777" w:rsidR="000C5264" w:rsidRDefault="00000000">
                  <w:pPr>
                    <w:widowControl w:val="0"/>
                    <w:spacing w:before="240" w:after="0" w:line="276" w:lineRule="auto"/>
                    <w:ind w:left="140" w:right="140"/>
                    <w:jc w:val="right"/>
                    <w:rPr>
                      <w:sz w:val="10"/>
                      <w:szCs w:val="10"/>
                    </w:rPr>
                  </w:pPr>
                  <w:r>
                    <w:rPr>
                      <w:sz w:val="10"/>
                      <w:szCs w:val="10"/>
                    </w:rPr>
                    <w:t>$1,398.98</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32079268"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6788684F" w14:textId="77777777" w:rsidR="000C5264" w:rsidRDefault="00000000">
                  <w:pPr>
                    <w:widowControl w:val="0"/>
                    <w:spacing w:before="240" w:after="0" w:line="276" w:lineRule="auto"/>
                    <w:ind w:left="140" w:right="140"/>
                    <w:jc w:val="right"/>
                    <w:rPr>
                      <w:sz w:val="10"/>
                      <w:szCs w:val="10"/>
                    </w:rPr>
                  </w:pPr>
                  <w:r>
                    <w:rPr>
                      <w:sz w:val="10"/>
                      <w:szCs w:val="10"/>
                    </w:rPr>
                    <w:t>$182.48</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7716984E" w14:textId="77777777" w:rsidR="000C5264" w:rsidRDefault="00000000">
                  <w:pPr>
                    <w:widowControl w:val="0"/>
                    <w:spacing w:before="240" w:after="0" w:line="276" w:lineRule="auto"/>
                    <w:ind w:left="140" w:right="140"/>
                    <w:jc w:val="right"/>
                    <w:rPr>
                      <w:sz w:val="10"/>
                      <w:szCs w:val="10"/>
                    </w:rPr>
                  </w:pPr>
                  <w:r>
                    <w:rPr>
                      <w:sz w:val="10"/>
                      <w:szCs w:val="10"/>
                    </w:rPr>
                    <w:t>$15,875.31</w:t>
                  </w:r>
                </w:p>
              </w:tc>
            </w:tr>
            <w:tr w:rsidR="000C5264" w14:paraId="14364076" w14:textId="77777777">
              <w:tc>
                <w:tcPr>
                  <w:tcW w:w="130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30C7504" w14:textId="77777777" w:rsidR="000C5264" w:rsidRDefault="00000000">
                  <w:pPr>
                    <w:widowControl w:val="0"/>
                    <w:spacing w:before="240" w:after="0" w:line="276" w:lineRule="auto"/>
                    <w:ind w:left="140" w:right="140"/>
                    <w:rPr>
                      <w:sz w:val="10"/>
                      <w:szCs w:val="10"/>
                    </w:rPr>
                  </w:pPr>
                  <w:r>
                    <w:rPr>
                      <w:sz w:val="10"/>
                      <w:szCs w:val="10"/>
                    </w:rPr>
                    <w:t>05/10/2023</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7FF1FC02" w14:textId="77777777" w:rsidR="000C5264" w:rsidRDefault="00000000">
                  <w:pPr>
                    <w:widowControl w:val="0"/>
                    <w:spacing w:before="240" w:after="0" w:line="276" w:lineRule="auto"/>
                    <w:ind w:left="140" w:right="140"/>
                    <w:rPr>
                      <w:sz w:val="10"/>
                      <w:szCs w:val="10"/>
                    </w:rPr>
                  </w:pPr>
                  <w:r>
                    <w:rPr>
                      <w:sz w:val="10"/>
                      <w:szCs w:val="10"/>
                    </w:rPr>
                    <w:t>Check 5683</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015DC59A" w14:textId="77777777" w:rsidR="000C5264" w:rsidRDefault="00000000">
                  <w:pPr>
                    <w:widowControl w:val="0"/>
                    <w:spacing w:before="240" w:after="0" w:line="276" w:lineRule="auto"/>
                    <w:ind w:left="140" w:right="140"/>
                    <w:rPr>
                      <w:sz w:val="10"/>
                      <w:szCs w:val="10"/>
                    </w:rPr>
                  </w:pPr>
                  <w:r>
                    <w:rPr>
                      <w:sz w:val="10"/>
                      <w:szCs w:val="10"/>
                    </w:rPr>
                    <w:t>HRCE - Please apply to Instructional account</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05725594" w14:textId="77777777" w:rsidR="000C5264" w:rsidRDefault="00000000">
                  <w:pPr>
                    <w:widowControl w:val="0"/>
                    <w:spacing w:before="240" w:after="0" w:line="276" w:lineRule="auto"/>
                    <w:ind w:left="140" w:right="140"/>
                    <w:jc w:val="right"/>
                    <w:rPr>
                      <w:sz w:val="10"/>
                      <w:szCs w:val="10"/>
                    </w:rPr>
                  </w:pPr>
                  <w:r>
                    <w:rPr>
                      <w:sz w:val="10"/>
                      <w:szCs w:val="10"/>
                    </w:rPr>
                    <w:t>$3,760.97</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0E49BDD3"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3E040953"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3BE67C2B" w14:textId="77777777" w:rsidR="000C5264" w:rsidRDefault="00000000">
                  <w:pPr>
                    <w:widowControl w:val="0"/>
                    <w:spacing w:before="240" w:after="0" w:line="276" w:lineRule="auto"/>
                    <w:ind w:left="140" w:right="140"/>
                    <w:jc w:val="right"/>
                    <w:rPr>
                      <w:sz w:val="10"/>
                      <w:szCs w:val="10"/>
                    </w:rPr>
                  </w:pPr>
                  <w:r>
                    <w:rPr>
                      <w:sz w:val="10"/>
                      <w:szCs w:val="10"/>
                    </w:rPr>
                    <w:t>$12,114.34</w:t>
                  </w:r>
                </w:p>
              </w:tc>
            </w:tr>
            <w:tr w:rsidR="000C5264" w14:paraId="7143488C" w14:textId="77777777">
              <w:tc>
                <w:tcPr>
                  <w:tcW w:w="130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0053A33F" w14:textId="77777777" w:rsidR="000C5264" w:rsidRDefault="00000000">
                  <w:pPr>
                    <w:widowControl w:val="0"/>
                    <w:spacing w:before="240" w:after="0" w:line="276" w:lineRule="auto"/>
                    <w:ind w:left="140" w:right="140"/>
                    <w:rPr>
                      <w:sz w:val="10"/>
                      <w:szCs w:val="10"/>
                    </w:rPr>
                  </w:pPr>
                  <w:r>
                    <w:rPr>
                      <w:sz w:val="10"/>
                      <w:szCs w:val="10"/>
                    </w:rPr>
                    <w:t>06/21/2023</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23AA5A17" w14:textId="77777777" w:rsidR="000C5264" w:rsidRDefault="00000000">
                  <w:pPr>
                    <w:widowControl w:val="0"/>
                    <w:spacing w:before="240" w:after="0" w:line="276" w:lineRule="auto"/>
                    <w:ind w:left="140" w:right="140"/>
                    <w:rPr>
                      <w:sz w:val="10"/>
                      <w:szCs w:val="10"/>
                    </w:rPr>
                  </w:pPr>
                  <w:r>
                    <w:rPr>
                      <w:sz w:val="10"/>
                      <w:szCs w:val="10"/>
                    </w:rPr>
                    <w:t>Transfer 171</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94EF2A8" w14:textId="77777777" w:rsidR="000C5264" w:rsidRDefault="00000000">
                  <w:pPr>
                    <w:widowControl w:val="0"/>
                    <w:spacing w:before="240" w:after="0" w:line="276" w:lineRule="auto"/>
                    <w:ind w:left="140" w:right="140"/>
                    <w:rPr>
                      <w:sz w:val="10"/>
                      <w:szCs w:val="10"/>
                    </w:rPr>
                  </w:pPr>
                  <w:r>
                    <w:rPr>
                      <w:sz w:val="10"/>
                      <w:szCs w:val="10"/>
                    </w:rPr>
                    <w:t>Transfer for learning materials/water table, 2 rockers, 2 wave tables</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44BFF823" w14:textId="77777777" w:rsidR="000C5264" w:rsidRDefault="00000000">
                  <w:pPr>
                    <w:widowControl w:val="0"/>
                    <w:spacing w:before="240" w:after="0" w:line="276" w:lineRule="auto"/>
                    <w:ind w:left="140" w:right="140"/>
                    <w:jc w:val="right"/>
                    <w:rPr>
                      <w:sz w:val="10"/>
                      <w:szCs w:val="10"/>
                    </w:rPr>
                  </w:pPr>
                  <w:r>
                    <w:rPr>
                      <w:sz w:val="10"/>
                      <w:szCs w:val="10"/>
                    </w:rPr>
                    <w:t>$2,453.77</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139F4024"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F6C6E5B"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DD28B9F" w14:textId="77777777" w:rsidR="000C5264" w:rsidRDefault="00000000">
                  <w:pPr>
                    <w:widowControl w:val="0"/>
                    <w:spacing w:before="240" w:after="0" w:line="276" w:lineRule="auto"/>
                    <w:ind w:left="140" w:right="140"/>
                    <w:jc w:val="right"/>
                    <w:rPr>
                      <w:sz w:val="10"/>
                      <w:szCs w:val="10"/>
                    </w:rPr>
                  </w:pPr>
                  <w:r>
                    <w:rPr>
                      <w:sz w:val="10"/>
                      <w:szCs w:val="10"/>
                    </w:rPr>
                    <w:t>$9,660.57</w:t>
                  </w:r>
                </w:p>
              </w:tc>
            </w:tr>
            <w:tr w:rsidR="000C5264" w14:paraId="78E833E3" w14:textId="77777777">
              <w:tc>
                <w:tcPr>
                  <w:tcW w:w="1307" w:type="dxa"/>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bottom"/>
                </w:tcPr>
                <w:p w14:paraId="3D431161"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0FE8D14"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5077261C"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05FDE4F4"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784523E1"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0F7E5445" w14:textId="77777777" w:rsidR="000C5264" w:rsidRDefault="00000000">
                  <w:pPr>
                    <w:widowControl w:val="0"/>
                    <w:spacing w:before="240" w:after="0" w:line="276" w:lineRule="auto"/>
                    <w:ind w:left="140" w:right="140"/>
                    <w:rPr>
                      <w:sz w:val="10"/>
                      <w:szCs w:val="10"/>
                    </w:rPr>
                  </w:pPr>
                  <w:r>
                    <w:rPr>
                      <w:sz w:val="10"/>
                      <w:szCs w:val="10"/>
                    </w:rPr>
                    <w:t xml:space="preserve"> </w:t>
                  </w:r>
                </w:p>
              </w:tc>
              <w:tc>
                <w:tcPr>
                  <w:tcW w:w="1307" w:type="dxa"/>
                  <w:tcBorders>
                    <w:top w:val="nil"/>
                    <w:left w:val="nil"/>
                    <w:bottom w:val="single" w:sz="6" w:space="0" w:color="000000"/>
                    <w:right w:val="single" w:sz="6" w:space="0" w:color="000000"/>
                  </w:tcBorders>
                  <w:tcMar>
                    <w:top w:w="100" w:type="dxa"/>
                    <w:left w:w="100" w:type="dxa"/>
                    <w:bottom w:w="100" w:type="dxa"/>
                    <w:right w:w="100" w:type="dxa"/>
                  </w:tcMar>
                  <w:vAlign w:val="bottom"/>
                </w:tcPr>
                <w:p w14:paraId="7C739356" w14:textId="77777777" w:rsidR="000C5264" w:rsidRDefault="00000000">
                  <w:pPr>
                    <w:widowControl w:val="0"/>
                    <w:spacing w:before="240" w:after="0" w:line="276" w:lineRule="auto"/>
                    <w:ind w:left="140" w:right="140"/>
                    <w:jc w:val="right"/>
                    <w:rPr>
                      <w:b/>
                      <w:sz w:val="10"/>
                      <w:szCs w:val="10"/>
                    </w:rPr>
                  </w:pPr>
                  <w:r>
                    <w:rPr>
                      <w:b/>
                      <w:sz w:val="10"/>
                      <w:szCs w:val="10"/>
                    </w:rPr>
                    <w:t>$9,660.57</w:t>
                  </w:r>
                </w:p>
              </w:tc>
            </w:tr>
          </w:tbl>
          <w:p w14:paraId="7F1B9029" w14:textId="77777777" w:rsidR="000C5264" w:rsidRDefault="000C5264">
            <w:pPr>
              <w:jc w:val="both"/>
              <w:rPr>
                <w:sz w:val="24"/>
                <w:szCs w:val="24"/>
              </w:rPr>
            </w:pPr>
          </w:p>
          <w:p w14:paraId="5F76691B" w14:textId="77777777" w:rsidR="000C5264" w:rsidRDefault="000C5264">
            <w:pPr>
              <w:jc w:val="both"/>
              <w:rPr>
                <w:i/>
                <w:sz w:val="24"/>
                <w:szCs w:val="24"/>
              </w:rPr>
            </w:pPr>
          </w:p>
        </w:tc>
      </w:tr>
    </w:tbl>
    <w:p w14:paraId="72B9BF7C" w14:textId="77777777" w:rsidR="000C5264" w:rsidRDefault="000C5264">
      <w:pPr>
        <w:jc w:val="both"/>
        <w:rPr>
          <w:sz w:val="24"/>
          <w:szCs w:val="24"/>
        </w:rPr>
      </w:pPr>
    </w:p>
    <w:tbl>
      <w:tblPr>
        <w:tblStyle w:val="ae"/>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C5264" w14:paraId="5B932C10" w14:textId="77777777">
        <w:tc>
          <w:tcPr>
            <w:tcW w:w="9350" w:type="dxa"/>
            <w:shd w:val="clear" w:color="auto" w:fill="DEEBF6"/>
          </w:tcPr>
          <w:p w14:paraId="5AF3F1E1" w14:textId="77777777" w:rsidR="000C5264" w:rsidRDefault="00000000">
            <w:pPr>
              <w:jc w:val="both"/>
              <w:rPr>
                <w:sz w:val="24"/>
                <w:szCs w:val="24"/>
              </w:rPr>
            </w:pPr>
            <w:r>
              <w:rPr>
                <w:sz w:val="24"/>
                <w:szCs w:val="24"/>
              </w:rPr>
              <w:lastRenderedPageBreak/>
              <w:t>Expenditures supporting policy development and implementation (e.g., supporting and promoting new policies).</w:t>
            </w:r>
          </w:p>
        </w:tc>
      </w:tr>
      <w:tr w:rsidR="000C5264" w14:paraId="17D94766" w14:textId="77777777">
        <w:trPr>
          <w:trHeight w:val="247"/>
        </w:trPr>
        <w:tc>
          <w:tcPr>
            <w:tcW w:w="9350" w:type="dxa"/>
          </w:tcPr>
          <w:p w14:paraId="380E4E29" w14:textId="77777777" w:rsidR="000C5264" w:rsidRDefault="00000000">
            <w:pPr>
              <w:jc w:val="both"/>
              <w:rPr>
                <w:i/>
                <w:sz w:val="24"/>
                <w:szCs w:val="24"/>
              </w:rPr>
            </w:pPr>
            <w:r>
              <w:rPr>
                <w:i/>
                <w:sz w:val="24"/>
                <w:szCs w:val="24"/>
              </w:rPr>
              <w:t>N/A</w:t>
            </w:r>
          </w:p>
        </w:tc>
      </w:tr>
    </w:tbl>
    <w:p w14:paraId="0594D8FE" w14:textId="77777777" w:rsidR="000C5264" w:rsidRDefault="000C5264">
      <w:pPr>
        <w:jc w:val="both"/>
        <w:rPr>
          <w:sz w:val="24"/>
          <w:szCs w:val="24"/>
        </w:rPr>
      </w:pPr>
    </w:p>
    <w:tbl>
      <w:tblPr>
        <w:tblStyle w:val="af"/>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C5264" w14:paraId="7382FF2D" w14:textId="77777777">
        <w:tc>
          <w:tcPr>
            <w:tcW w:w="9350" w:type="dxa"/>
            <w:shd w:val="clear" w:color="auto" w:fill="DEEBF6"/>
          </w:tcPr>
          <w:p w14:paraId="3A553FF2" w14:textId="77777777" w:rsidR="000C5264" w:rsidRDefault="00000000">
            <w:pPr>
              <w:jc w:val="both"/>
              <w:rPr>
                <w:sz w:val="24"/>
                <w:szCs w:val="24"/>
              </w:rPr>
            </w:pPr>
            <w:r>
              <w:rPr>
                <w:sz w:val="24"/>
                <w:szCs w:val="24"/>
              </w:rPr>
              <w:t>Expenditures covering operational expenses; up to 20 per cent of provincial SAC funding may be used as operational expenses, if necessary, to encourage and support member participation)</w:t>
            </w:r>
          </w:p>
        </w:tc>
      </w:tr>
      <w:tr w:rsidR="000C5264" w14:paraId="562652FB" w14:textId="77777777">
        <w:tc>
          <w:tcPr>
            <w:tcW w:w="9350" w:type="dxa"/>
          </w:tcPr>
          <w:p w14:paraId="03846081" w14:textId="77777777" w:rsidR="000C5264" w:rsidRDefault="00000000">
            <w:pPr>
              <w:rPr>
                <w:i/>
                <w:sz w:val="24"/>
                <w:szCs w:val="24"/>
              </w:rPr>
            </w:pPr>
            <w:bookmarkStart w:id="0" w:name="_heading=h.gjdgxs" w:colFirst="0" w:colLast="0"/>
            <w:bookmarkEnd w:id="0"/>
            <w:r>
              <w:rPr>
                <w:i/>
                <w:sz w:val="24"/>
                <w:szCs w:val="24"/>
              </w:rPr>
              <w:t>N/A</w:t>
            </w:r>
          </w:p>
          <w:p w14:paraId="0876F1C9" w14:textId="77777777" w:rsidR="000C5264" w:rsidRDefault="000C5264">
            <w:pPr>
              <w:rPr>
                <w:i/>
                <w:sz w:val="24"/>
                <w:szCs w:val="24"/>
              </w:rPr>
            </w:pPr>
          </w:p>
        </w:tc>
      </w:tr>
    </w:tbl>
    <w:p w14:paraId="174A5269" w14:textId="77777777" w:rsidR="000C5264" w:rsidRDefault="000C5264">
      <w:pPr>
        <w:jc w:val="center"/>
      </w:pPr>
    </w:p>
    <w:sectPr w:rsidR="000C5264">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A9A8" w14:textId="77777777" w:rsidR="002F6DD7" w:rsidRDefault="002F6DD7">
      <w:pPr>
        <w:spacing w:after="0" w:line="240" w:lineRule="auto"/>
      </w:pPr>
      <w:r>
        <w:separator/>
      </w:r>
    </w:p>
  </w:endnote>
  <w:endnote w:type="continuationSeparator" w:id="0">
    <w:p w14:paraId="41081156" w14:textId="77777777" w:rsidR="002F6DD7" w:rsidRDefault="002F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6C3F" w14:textId="77777777" w:rsidR="000C5264" w:rsidRDefault="00000000">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C05A4">
      <w:rPr>
        <w:noProof/>
        <w:color w:val="000000"/>
      </w:rPr>
      <w:t>1</w:t>
    </w:r>
    <w:r>
      <w:rPr>
        <w:color w:val="000000"/>
      </w:rPr>
      <w:fldChar w:fldCharType="end"/>
    </w:r>
    <w:r>
      <w:rPr>
        <w:color w:val="000000"/>
      </w:rPr>
      <w:t xml:space="preserve"> | </w:t>
    </w:r>
    <w:r>
      <w:rPr>
        <w:color w:val="7F7F7F"/>
      </w:rPr>
      <w:t>Page</w:t>
    </w:r>
  </w:p>
  <w:p w14:paraId="01EC62FD" w14:textId="77777777" w:rsidR="000C5264" w:rsidRDefault="000C526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256B" w14:textId="77777777" w:rsidR="002F6DD7" w:rsidRDefault="002F6DD7">
      <w:pPr>
        <w:spacing w:after="0" w:line="240" w:lineRule="auto"/>
      </w:pPr>
      <w:r>
        <w:separator/>
      </w:r>
    </w:p>
  </w:footnote>
  <w:footnote w:type="continuationSeparator" w:id="0">
    <w:p w14:paraId="142AD612" w14:textId="77777777" w:rsidR="002F6DD7" w:rsidRDefault="002F6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64"/>
    <w:rsid w:val="000C5264"/>
    <w:rsid w:val="002F6DD7"/>
    <w:rsid w:val="00406BBA"/>
    <w:rsid w:val="00510E3C"/>
    <w:rsid w:val="007C0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4FD6"/>
  <w15:docId w15:val="{629C134D-E076-4F88-9D26-41850B61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 w:type="paragraph" w:styleId="ListParagraph">
    <w:name w:val="List Paragraph"/>
    <w:basedOn w:val="Normal"/>
    <w:uiPriority w:val="34"/>
    <w:qFormat/>
    <w:rsid w:val="00683F2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7C05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7q0Iw+eMypDlfsOuWd8JzawjxA==">CgMxLjAyCGguZ2pkZ3hzOAByITFobnF5cnpXaS1uYUJQdE5Tb3RJT0hvZHVHVURKdmVzUw==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MacNeil, Andy</dc:creator>
  <cp:lastModifiedBy>Michelle Andrews</cp:lastModifiedBy>
  <cp:revision>2</cp:revision>
  <dcterms:created xsi:type="dcterms:W3CDTF">2023-06-21T19:16:00Z</dcterms:created>
  <dcterms:modified xsi:type="dcterms:W3CDTF">2023-06-21T19:16:00Z</dcterms:modified>
</cp:coreProperties>
</file>